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0881" w14:textId="62556277" w:rsidR="004829DE" w:rsidRDefault="00773B99" w:rsidP="00215D58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7030A0"/>
          <w:sz w:val="56"/>
          <w:szCs w:val="32"/>
        </w:rPr>
      </w:pPr>
      <w:r>
        <w:rPr>
          <w:rFonts w:eastAsiaTheme="majorEastAsia" w:cstheme="minorHAnsi"/>
          <w:b/>
          <w:color w:val="7030A0"/>
          <w:sz w:val="56"/>
          <w:szCs w:val="32"/>
        </w:rPr>
        <w:t>Teaching, Learning and Assessment Policy</w:t>
      </w:r>
    </w:p>
    <w:p w14:paraId="00AF6B2B" w14:textId="77777777" w:rsidR="00215D58" w:rsidRPr="00215D58" w:rsidRDefault="00215D58" w:rsidP="00215D58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7030A0"/>
          <w:sz w:val="56"/>
          <w:szCs w:val="32"/>
        </w:rPr>
      </w:pPr>
    </w:p>
    <w:p w14:paraId="7E2CAADC" w14:textId="4257D05B" w:rsidR="00734D9D" w:rsidRDefault="00F52E2D" w:rsidP="00020D9C">
      <w:r w:rsidRPr="37A3EC3D">
        <w:rPr>
          <w:rFonts w:eastAsiaTheme="majorEastAsia" w:cstheme="majorBidi"/>
          <w:b/>
          <w:bCs/>
          <w:color w:val="7030A0"/>
          <w:sz w:val="28"/>
          <w:szCs w:val="28"/>
        </w:rPr>
        <w:t>Commitment</w:t>
      </w:r>
      <w:r>
        <w:br/>
      </w:r>
      <w:r w:rsidR="00773B99">
        <w:t>ACT School</w:t>
      </w:r>
      <w:r w:rsidR="00B7067D">
        <w:t xml:space="preserve"> is </w:t>
      </w:r>
      <w:r w:rsidR="00020D9C">
        <w:t>passionate about enriching the li</w:t>
      </w:r>
      <w:r w:rsidR="008174F8">
        <w:t>ves of all pupils</w:t>
      </w:r>
      <w:r w:rsidR="00A52C09">
        <w:t xml:space="preserve"> within a </w:t>
      </w:r>
      <w:r w:rsidR="008174F8">
        <w:t xml:space="preserve">creative learning </w:t>
      </w:r>
      <w:r w:rsidR="00B7012C">
        <w:t>environment</w:t>
      </w:r>
      <w:r w:rsidR="00FC2350">
        <w:t xml:space="preserve"> and </w:t>
      </w:r>
      <w:r w:rsidR="00734D9D">
        <w:t>providing opportunities to develop integral skills that enable them to become more ethically informed ci</w:t>
      </w:r>
      <w:r w:rsidR="00F92743">
        <w:t>tizens</w:t>
      </w:r>
      <w:r w:rsidR="00FC2350">
        <w:t>,</w:t>
      </w:r>
      <w:r w:rsidR="00F92743">
        <w:t xml:space="preserve"> widening their opportunities to progress and achieve in their future lives</w:t>
      </w:r>
      <w:r w:rsidR="081AC924">
        <w:t xml:space="preserve">. </w:t>
      </w:r>
    </w:p>
    <w:p w14:paraId="315BD64D" w14:textId="77777777" w:rsidR="007A7027" w:rsidRPr="007A7027" w:rsidRDefault="00F52E2D" w:rsidP="007A7027">
      <w:pPr>
        <w:spacing w:after="200" w:line="276" w:lineRule="auto"/>
        <w:jc w:val="both"/>
        <w:rPr>
          <w:rFonts w:cstheme="minorHAnsi"/>
        </w:rPr>
      </w:pPr>
      <w:r w:rsidRPr="007A7027">
        <w:rPr>
          <w:rFonts w:eastAsiaTheme="majorEastAsia" w:cstheme="majorBidi"/>
          <w:b/>
          <w:color w:val="7030A0"/>
          <w:sz w:val="28"/>
          <w:szCs w:val="24"/>
        </w:rPr>
        <w:t>Purpos</w:t>
      </w:r>
      <w:r w:rsidR="007A7027" w:rsidRPr="007A7027">
        <w:rPr>
          <w:rFonts w:eastAsiaTheme="majorEastAsia" w:cstheme="majorBidi"/>
          <w:b/>
          <w:color w:val="7030A0"/>
          <w:sz w:val="28"/>
          <w:szCs w:val="24"/>
        </w:rPr>
        <w:t>e</w:t>
      </w:r>
    </w:p>
    <w:p w14:paraId="1E9B893A" w14:textId="7CC538BC" w:rsidR="00826C5C" w:rsidRDefault="008D16E6" w:rsidP="008D16E6">
      <w:r>
        <w:t xml:space="preserve">To set out </w:t>
      </w:r>
      <w:bookmarkStart w:id="0" w:name="_Int_p6QHVtHw"/>
      <w:r>
        <w:t>high expectations</w:t>
      </w:r>
      <w:bookmarkEnd w:id="0"/>
      <w:r>
        <w:t xml:space="preserve"> and a common approach to teaching, learning and assessment across the school which aims to promote/provide </w:t>
      </w:r>
      <w:bookmarkStart w:id="1" w:name="_Int_mnzJg4G0"/>
      <w:r w:rsidR="005313DD">
        <w:t>high standards</w:t>
      </w:r>
      <w:bookmarkEnd w:id="1"/>
      <w:r w:rsidR="005313DD">
        <w:t xml:space="preserve"> of </w:t>
      </w:r>
      <w:r>
        <w:t xml:space="preserve">learning experiences, </w:t>
      </w:r>
      <w:r w:rsidR="41A6889A">
        <w:t>development,</w:t>
      </w:r>
      <w:r>
        <w:t xml:space="preserve"> and achievement.</w:t>
      </w:r>
    </w:p>
    <w:p w14:paraId="7F95EFFD" w14:textId="7B9F5F1B" w:rsidR="00773B99" w:rsidRPr="0065204E" w:rsidRDefault="00F52E2D" w:rsidP="0065204E">
      <w:pPr>
        <w:jc w:val="both"/>
        <w:rPr>
          <w:rFonts w:cstheme="minorHAnsi"/>
        </w:rPr>
      </w:pPr>
      <w:r w:rsidRPr="00773B99">
        <w:rPr>
          <w:rFonts w:eastAsiaTheme="majorEastAsia" w:cstheme="majorBidi"/>
          <w:b/>
          <w:color w:val="7030A0"/>
          <w:sz w:val="28"/>
          <w:szCs w:val="24"/>
        </w:rPr>
        <w:t>Scope</w:t>
      </w:r>
      <w:r w:rsidRPr="00773B99">
        <w:rPr>
          <w:rFonts w:eastAsiaTheme="majorEastAsia" w:cstheme="majorBidi"/>
          <w:b/>
          <w:color w:val="7030A0"/>
          <w:sz w:val="28"/>
          <w:szCs w:val="24"/>
        </w:rPr>
        <w:br/>
      </w:r>
      <w:r w:rsidR="00773B99">
        <w:t xml:space="preserve">This policy applies to all delivery staff in ACT Schools. </w:t>
      </w:r>
    </w:p>
    <w:p w14:paraId="4EBADAC7" w14:textId="00094B2F" w:rsidR="00F52E2D" w:rsidRPr="00133025" w:rsidRDefault="00F52E2D" w:rsidP="00BB494B">
      <w:pPr>
        <w:spacing w:after="0"/>
        <w:rPr>
          <w:rFonts w:eastAsiaTheme="majorEastAsia" w:cstheme="majorBidi"/>
          <w:b/>
          <w:color w:val="7030A0"/>
          <w:sz w:val="28"/>
          <w:szCs w:val="24"/>
        </w:rPr>
      </w:pPr>
      <w:r w:rsidRPr="00133025">
        <w:rPr>
          <w:rFonts w:eastAsiaTheme="majorEastAsia" w:cstheme="majorBidi"/>
          <w:b/>
          <w:color w:val="7030A0"/>
          <w:sz w:val="28"/>
          <w:szCs w:val="24"/>
        </w:rPr>
        <w:t>Responsibilities</w:t>
      </w:r>
    </w:p>
    <w:p w14:paraId="6D306E15" w14:textId="4796969A" w:rsidR="00773B99" w:rsidRDefault="00773B99" w:rsidP="00773B99">
      <w:pPr>
        <w:jc w:val="both"/>
        <w:rPr>
          <w:rFonts w:cstheme="minorHAnsi"/>
        </w:rPr>
      </w:pPr>
      <w:r>
        <w:rPr>
          <w:rFonts w:cstheme="minorHAnsi"/>
        </w:rPr>
        <w:t xml:space="preserve">Overall responsibility for this document lies with the Head of 11-16 Education and </w:t>
      </w:r>
      <w:r w:rsidR="00E11C6B">
        <w:rPr>
          <w:rFonts w:cstheme="minorHAnsi"/>
        </w:rPr>
        <w:t xml:space="preserve">the Head of Continuous Improvement. </w:t>
      </w:r>
    </w:p>
    <w:p w14:paraId="65F0F31E" w14:textId="29F07303" w:rsidR="00773B99" w:rsidRPr="000C5585" w:rsidRDefault="00E11C6B" w:rsidP="006D4AF2">
      <w:pPr>
        <w:jc w:val="both"/>
        <w:rPr>
          <w:rFonts w:cstheme="minorHAnsi"/>
          <w:b/>
        </w:rPr>
      </w:pPr>
      <w:r>
        <w:rPr>
          <w:rFonts w:cstheme="minorHAnsi"/>
          <w:b/>
        </w:rPr>
        <w:t>The H</w:t>
      </w:r>
      <w:r w:rsidR="00B07B48" w:rsidRPr="000C5585">
        <w:rPr>
          <w:rFonts w:cstheme="minorHAnsi"/>
          <w:b/>
        </w:rPr>
        <w:t xml:space="preserve">ead of 11-16 Education </w:t>
      </w:r>
      <w:r w:rsidR="00773B99" w:rsidRPr="000C5585">
        <w:rPr>
          <w:rFonts w:cstheme="minorHAnsi"/>
          <w:b/>
        </w:rPr>
        <w:t xml:space="preserve">is </w:t>
      </w:r>
      <w:r w:rsidR="00DB4C65" w:rsidRPr="000C5585">
        <w:rPr>
          <w:rFonts w:cstheme="minorHAnsi"/>
          <w:b/>
        </w:rPr>
        <w:t xml:space="preserve">accountable </w:t>
      </w:r>
      <w:r w:rsidR="00773B99" w:rsidRPr="000C5585">
        <w:rPr>
          <w:rFonts w:cstheme="minorHAnsi"/>
          <w:b/>
        </w:rPr>
        <w:t>for</w:t>
      </w:r>
      <w:r w:rsidR="00DB4C65" w:rsidRPr="000C5585">
        <w:rPr>
          <w:rFonts w:cstheme="minorHAnsi"/>
          <w:b/>
        </w:rPr>
        <w:t xml:space="preserve"> ensuring the curriculum</w:t>
      </w:r>
      <w:r w:rsidR="006D4AF2" w:rsidRPr="000C5585">
        <w:rPr>
          <w:rFonts w:cstheme="minorHAnsi"/>
          <w:b/>
        </w:rPr>
        <w:t>;</w:t>
      </w:r>
    </w:p>
    <w:p w14:paraId="677BE81E" w14:textId="08B3281C" w:rsidR="00B07B48" w:rsidRPr="00196209" w:rsidRDefault="00DB4C65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96209">
        <w:rPr>
          <w:rFonts w:cstheme="minorHAnsi"/>
        </w:rPr>
        <w:t>E</w:t>
      </w:r>
      <w:r w:rsidR="00B07B48" w:rsidRPr="00196209">
        <w:rPr>
          <w:rFonts w:cstheme="minorHAnsi"/>
        </w:rPr>
        <w:t xml:space="preserve">nables </w:t>
      </w:r>
      <w:r w:rsidRPr="00196209">
        <w:rPr>
          <w:rFonts w:cstheme="minorHAnsi"/>
        </w:rPr>
        <w:t>pupils</w:t>
      </w:r>
      <w:r w:rsidR="00B07B48" w:rsidRPr="00196209">
        <w:rPr>
          <w:rFonts w:cstheme="minorHAnsi"/>
        </w:rPr>
        <w:t xml:space="preserve"> to develop in the ways described in the four purposes </w:t>
      </w:r>
    </w:p>
    <w:p w14:paraId="7B02D51E" w14:textId="209FE0F6" w:rsidR="00DB4C65" w:rsidRPr="00196209" w:rsidRDefault="00DB4C65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96209">
        <w:rPr>
          <w:rFonts w:cstheme="minorHAnsi"/>
        </w:rPr>
        <w:t>Provides for appropriate </w:t>
      </w:r>
      <w:hyperlink r:id="rId11" w:anchor="progression" w:history="1">
        <w:r w:rsidRPr="00196209">
          <w:rPr>
            <w:rFonts w:cstheme="minorHAnsi"/>
          </w:rPr>
          <w:t>progression</w:t>
        </w:r>
      </w:hyperlink>
      <w:r w:rsidRPr="00196209">
        <w:rPr>
          <w:rFonts w:cstheme="minorHAnsi"/>
        </w:rPr>
        <w:t> for learners</w:t>
      </w:r>
    </w:p>
    <w:p w14:paraId="36B6D4F0" w14:textId="36F3B44A" w:rsidR="00DB4C65" w:rsidRPr="00196209" w:rsidRDefault="00DB4C65" w:rsidP="37A3EC3D">
      <w:pPr>
        <w:pStyle w:val="ListParagraph"/>
        <w:numPr>
          <w:ilvl w:val="0"/>
          <w:numId w:val="5"/>
        </w:numPr>
        <w:jc w:val="both"/>
      </w:pPr>
      <w:r w:rsidRPr="37A3EC3D">
        <w:t xml:space="preserve">Is suitable for the learner’s age, </w:t>
      </w:r>
      <w:r w:rsidR="346C4B7B" w:rsidRPr="37A3EC3D">
        <w:t>ability,</w:t>
      </w:r>
      <w:r w:rsidRPr="37A3EC3D">
        <w:t xml:space="preserve"> and aptitude</w:t>
      </w:r>
    </w:p>
    <w:p w14:paraId="1F13CA8A" w14:textId="6BEB6913" w:rsidR="00DB4C65" w:rsidRPr="00196209" w:rsidRDefault="00DB4C65" w:rsidP="37A3EC3D">
      <w:pPr>
        <w:pStyle w:val="ListParagraph"/>
        <w:numPr>
          <w:ilvl w:val="0"/>
          <w:numId w:val="5"/>
        </w:numPr>
        <w:jc w:val="both"/>
      </w:pPr>
      <w:r w:rsidRPr="37A3EC3D">
        <w:t xml:space="preserve">Is broad and balanced, </w:t>
      </w:r>
      <w:r w:rsidR="16AAAB98" w:rsidRPr="37A3EC3D">
        <w:t>as far as</w:t>
      </w:r>
      <w:r w:rsidRPr="37A3EC3D">
        <w:t xml:space="preserve"> is appropriate for the learner</w:t>
      </w:r>
    </w:p>
    <w:p w14:paraId="7EFFF878" w14:textId="62F5045B" w:rsidR="00DB4C65" w:rsidRPr="00196209" w:rsidRDefault="00DB4C65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96209">
        <w:rPr>
          <w:rFonts w:cstheme="minorHAnsi"/>
        </w:rPr>
        <w:t>Encompasses the </w:t>
      </w:r>
      <w:hyperlink r:id="rId12" w:history="1">
        <w:r w:rsidRPr="00196209">
          <w:rPr>
            <w:rFonts w:cstheme="minorHAnsi"/>
          </w:rPr>
          <w:t>Health and well-being</w:t>
        </w:r>
      </w:hyperlink>
      <w:r w:rsidRPr="00196209">
        <w:rPr>
          <w:rFonts w:cstheme="minorHAnsi"/>
        </w:rPr>
        <w:t> Area</w:t>
      </w:r>
    </w:p>
    <w:p w14:paraId="3CEC0B41" w14:textId="55142F7F" w:rsidR="00DB4C65" w:rsidRPr="00196209" w:rsidRDefault="00DB4C65" w:rsidP="37A3EC3D">
      <w:pPr>
        <w:pStyle w:val="ListParagraph"/>
        <w:numPr>
          <w:ilvl w:val="0"/>
          <w:numId w:val="5"/>
        </w:numPr>
        <w:jc w:val="both"/>
      </w:pPr>
      <w:r w:rsidRPr="37A3EC3D">
        <w:t>Encompasses the mandatory </w:t>
      </w:r>
      <w:hyperlink r:id="rId13" w:anchor="relationships-and-sexuality-education">
        <w:r w:rsidRPr="37A3EC3D">
          <w:t>RSE Code</w:t>
        </w:r>
      </w:hyperlink>
      <w:r w:rsidRPr="37A3EC3D">
        <w:t> (</w:t>
      </w:r>
      <w:r w:rsidR="52EB87D7" w:rsidRPr="37A3EC3D">
        <w:t>Which</w:t>
      </w:r>
      <w:r w:rsidRPr="37A3EC3D">
        <w:t xml:space="preserve"> must be developmentally appropriate for the learner)</w:t>
      </w:r>
    </w:p>
    <w:p w14:paraId="46789999" w14:textId="6CC1144B" w:rsidR="00DB4C65" w:rsidRPr="00196209" w:rsidRDefault="00DB4C65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96209">
        <w:rPr>
          <w:rFonts w:cstheme="minorHAnsi"/>
        </w:rPr>
        <w:t>Develops the mandatory </w:t>
      </w:r>
      <w:hyperlink r:id="rId14" w:anchor="cross-curricular-skills" w:history="1">
        <w:r w:rsidRPr="00196209">
          <w:rPr>
            <w:rFonts w:cstheme="minorHAnsi"/>
          </w:rPr>
          <w:t>cross-curricular skills</w:t>
        </w:r>
      </w:hyperlink>
      <w:r w:rsidRPr="00196209">
        <w:rPr>
          <w:rFonts w:cstheme="minorHAnsi"/>
        </w:rPr>
        <w:t>.</w:t>
      </w:r>
    </w:p>
    <w:p w14:paraId="5383800F" w14:textId="39575A3D" w:rsidR="00DB4C65" w:rsidRPr="000C5585" w:rsidRDefault="00DB4C65" w:rsidP="37A3EC3D">
      <w:pPr>
        <w:jc w:val="both"/>
        <w:rPr>
          <w:b/>
          <w:bCs/>
        </w:rPr>
      </w:pPr>
      <w:r w:rsidRPr="37A3EC3D">
        <w:rPr>
          <w:b/>
          <w:bCs/>
        </w:rPr>
        <w:t xml:space="preserve">If </w:t>
      </w:r>
      <w:r w:rsidR="2BB5255F" w:rsidRPr="37A3EC3D">
        <w:rPr>
          <w:b/>
          <w:bCs/>
        </w:rPr>
        <w:t>possible</w:t>
      </w:r>
      <w:r w:rsidRPr="37A3EC3D">
        <w:rPr>
          <w:b/>
          <w:bCs/>
        </w:rPr>
        <w:t xml:space="preserve"> and appropriate to do so, </w:t>
      </w:r>
      <w:r w:rsidR="006D4AF2" w:rsidRPr="37A3EC3D">
        <w:rPr>
          <w:b/>
          <w:bCs/>
        </w:rPr>
        <w:t xml:space="preserve">teaching </w:t>
      </w:r>
      <w:r w:rsidRPr="37A3EC3D">
        <w:rPr>
          <w:b/>
          <w:bCs/>
        </w:rPr>
        <w:t xml:space="preserve">and </w:t>
      </w:r>
      <w:r w:rsidR="006D4AF2" w:rsidRPr="37A3EC3D">
        <w:rPr>
          <w:b/>
          <w:bCs/>
        </w:rPr>
        <w:t xml:space="preserve">learning: </w:t>
      </w:r>
    </w:p>
    <w:p w14:paraId="76D4AFB0" w14:textId="587A51EF" w:rsidR="00DB4C65" w:rsidRPr="00196209" w:rsidRDefault="00F54D27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96209">
        <w:rPr>
          <w:rFonts w:cstheme="minorHAnsi"/>
        </w:rPr>
        <w:t xml:space="preserve">Encompasses </w:t>
      </w:r>
      <w:r w:rsidR="00DB4C65" w:rsidRPr="00196209">
        <w:rPr>
          <w:rFonts w:cstheme="minorHAnsi"/>
        </w:rPr>
        <w:t>the other A</w:t>
      </w:r>
      <w:r w:rsidR="006D4AF2" w:rsidRPr="00196209">
        <w:rPr>
          <w:rFonts w:cstheme="minorHAnsi"/>
        </w:rPr>
        <w:t xml:space="preserve">OLE’s </w:t>
      </w:r>
    </w:p>
    <w:p w14:paraId="58F9A0D0" w14:textId="77777777" w:rsidR="006D4AF2" w:rsidRPr="00196209" w:rsidRDefault="00F54D27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96209">
        <w:rPr>
          <w:rFonts w:cstheme="minorHAnsi"/>
        </w:rPr>
        <w:t xml:space="preserve">Encompasses </w:t>
      </w:r>
      <w:r w:rsidR="00DB4C65" w:rsidRPr="00196209">
        <w:rPr>
          <w:rFonts w:cstheme="minorHAnsi"/>
        </w:rPr>
        <w:t>the other mandatory elements</w:t>
      </w:r>
    </w:p>
    <w:p w14:paraId="07B68B36" w14:textId="58DDFB26" w:rsidR="00F54D27" w:rsidRPr="000C5585" w:rsidRDefault="006D4AF2" w:rsidP="006D4AF2">
      <w:pPr>
        <w:jc w:val="both"/>
        <w:rPr>
          <w:rFonts w:cstheme="minorHAnsi"/>
          <w:b/>
        </w:rPr>
      </w:pPr>
      <w:r w:rsidRPr="000C5585">
        <w:rPr>
          <w:rFonts w:cstheme="minorHAnsi"/>
          <w:b/>
        </w:rPr>
        <w:t>Areas of learning experiences provide opportunities for pupils to develop</w:t>
      </w:r>
      <w:r w:rsidR="00F54D27" w:rsidRPr="000C5585">
        <w:rPr>
          <w:rFonts w:cstheme="minorHAnsi"/>
          <w:b/>
        </w:rPr>
        <w:t>:</w:t>
      </w:r>
    </w:p>
    <w:p w14:paraId="625A3EDA" w14:textId="4E6352A2" w:rsidR="006D4AF2" w:rsidRDefault="006D4AF2" w:rsidP="37A3EC3D">
      <w:pPr>
        <w:pStyle w:val="ListParagraph"/>
        <w:numPr>
          <w:ilvl w:val="0"/>
          <w:numId w:val="5"/>
        </w:numPr>
        <w:jc w:val="both"/>
      </w:pPr>
      <w:r w:rsidRPr="37A3EC3D">
        <w:t xml:space="preserve">Listening, reading, </w:t>
      </w:r>
      <w:r w:rsidR="52618E45" w:rsidRPr="37A3EC3D">
        <w:t>speaking,</w:t>
      </w:r>
      <w:r w:rsidRPr="37A3EC3D">
        <w:t xml:space="preserve"> and writing skills </w:t>
      </w:r>
    </w:p>
    <w:p w14:paraId="70051300" w14:textId="77777777" w:rsidR="006D4AF2" w:rsidRDefault="006D4AF2" w:rsidP="00E94E0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Be able to use numbers and solve problems in real life situations </w:t>
      </w:r>
    </w:p>
    <w:p w14:paraId="032FFE85" w14:textId="3147FB0E" w:rsidR="00F54D27" w:rsidRPr="00F54D27" w:rsidRDefault="006D4AF2" w:rsidP="37A3EC3D">
      <w:pPr>
        <w:pStyle w:val="ListParagraph"/>
        <w:numPr>
          <w:ilvl w:val="0"/>
          <w:numId w:val="5"/>
        </w:numPr>
        <w:jc w:val="both"/>
      </w:pPr>
      <w:r w:rsidRPr="37A3EC3D">
        <w:t>Be confident users of a range of technologies to help them function and communicate effectively and make sense of the world</w:t>
      </w:r>
    </w:p>
    <w:p w14:paraId="10FBC902" w14:textId="3B02A561" w:rsidR="00F54D27" w:rsidRPr="006D4AF2" w:rsidRDefault="00F54D27" w:rsidP="37A3EC3D">
      <w:pPr>
        <w:pStyle w:val="ListParagraph"/>
        <w:numPr>
          <w:ilvl w:val="0"/>
          <w:numId w:val="5"/>
        </w:numPr>
        <w:jc w:val="both"/>
      </w:pPr>
      <w:r w:rsidRPr="37A3EC3D">
        <w:t>takes account of the learner’s additional learning needs (if any)</w:t>
      </w:r>
      <w:r w:rsidR="3BEB6746" w:rsidRPr="37A3EC3D">
        <w:t>.</w:t>
      </w:r>
    </w:p>
    <w:p w14:paraId="10B00DFC" w14:textId="77777777" w:rsidR="00744D79" w:rsidRDefault="00744D79" w:rsidP="00196209">
      <w:pPr>
        <w:jc w:val="both"/>
        <w:rPr>
          <w:rFonts w:cstheme="minorHAnsi"/>
          <w:b/>
        </w:rPr>
      </w:pPr>
    </w:p>
    <w:p w14:paraId="4141E374" w14:textId="77777777" w:rsidR="00744D79" w:rsidRDefault="00744D79" w:rsidP="00196209">
      <w:pPr>
        <w:jc w:val="both"/>
        <w:rPr>
          <w:rFonts w:cstheme="minorHAnsi"/>
          <w:b/>
        </w:rPr>
      </w:pPr>
    </w:p>
    <w:p w14:paraId="3230829D" w14:textId="254C927B" w:rsidR="00744D79" w:rsidRDefault="00744D79" w:rsidP="00196209">
      <w:pPr>
        <w:jc w:val="both"/>
        <w:rPr>
          <w:rFonts w:cstheme="minorHAnsi"/>
          <w:b/>
        </w:rPr>
      </w:pPr>
    </w:p>
    <w:p w14:paraId="6E7E820E" w14:textId="17BFBFDF" w:rsidR="00F54D27" w:rsidRPr="000C5585" w:rsidRDefault="00196209" w:rsidP="00196209">
      <w:pPr>
        <w:jc w:val="both"/>
        <w:rPr>
          <w:rFonts w:cstheme="minorHAnsi"/>
          <w:b/>
        </w:rPr>
      </w:pPr>
      <w:r w:rsidRPr="000C5585">
        <w:rPr>
          <w:rFonts w:cstheme="minorHAnsi"/>
          <w:b/>
        </w:rPr>
        <w:lastRenderedPageBreak/>
        <w:t>Incorporates assessments:</w:t>
      </w:r>
    </w:p>
    <w:p w14:paraId="09D2BEED" w14:textId="003B33B8" w:rsidR="00196209" w:rsidRDefault="00196209" w:rsidP="00E94E0F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that support</w:t>
      </w:r>
      <w:r w:rsidR="00744D79">
        <w:rPr>
          <w:rFonts w:cstheme="minorHAnsi"/>
        </w:rPr>
        <w:t>s</w:t>
      </w:r>
      <w:r>
        <w:rPr>
          <w:rFonts w:cstheme="minorHAnsi"/>
        </w:rPr>
        <w:t xml:space="preserve"> progression </w:t>
      </w:r>
    </w:p>
    <w:p w14:paraId="2E04F57A" w14:textId="6CCBF9ED" w:rsidR="00196209" w:rsidRDefault="00196209" w:rsidP="00E94E0F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assess progress made in relation to the curriculum </w:t>
      </w:r>
    </w:p>
    <w:p w14:paraId="683FF3AE" w14:textId="742233DA" w:rsidR="00196209" w:rsidRPr="00196209" w:rsidRDefault="00196209" w:rsidP="00E94E0F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considers the next steps in the pupil’s progression and the teaching and learning needed to make that progression </w:t>
      </w:r>
    </w:p>
    <w:p w14:paraId="08007DA3" w14:textId="19723C0D" w:rsidR="000C5585" w:rsidRPr="008F4F24" w:rsidRDefault="009613C0" w:rsidP="000C5585">
      <w:pPr>
        <w:jc w:val="both"/>
        <w:rPr>
          <w:rFonts w:cstheme="minorHAnsi"/>
          <w:b/>
        </w:rPr>
      </w:pPr>
      <w:r>
        <w:rPr>
          <w:rFonts w:cstheme="minorHAnsi"/>
          <w:b/>
        </w:rPr>
        <w:t>Deputy Heads of 11-16 Education</w:t>
      </w:r>
      <w:r w:rsidR="008F4F24">
        <w:rPr>
          <w:rFonts w:cstheme="minorHAnsi"/>
          <w:b/>
        </w:rPr>
        <w:t xml:space="preserve">: </w:t>
      </w:r>
      <w:r w:rsidR="00196209" w:rsidRPr="008F4F24">
        <w:rPr>
          <w:rFonts w:cstheme="minorHAnsi"/>
        </w:rPr>
        <w:t xml:space="preserve">working </w:t>
      </w:r>
      <w:r w:rsidR="00773B99" w:rsidRPr="008F4F24">
        <w:rPr>
          <w:rFonts w:cstheme="minorHAnsi"/>
        </w:rPr>
        <w:t>with the Head of 11-16 Education</w:t>
      </w:r>
      <w:r>
        <w:rPr>
          <w:rFonts w:cstheme="minorHAnsi"/>
        </w:rPr>
        <w:t xml:space="preserve"> (and Head of Continuous Improvement)</w:t>
      </w:r>
      <w:r w:rsidR="00773B99" w:rsidRPr="008F4F24">
        <w:rPr>
          <w:rFonts w:cstheme="minorHAnsi"/>
        </w:rPr>
        <w:t xml:space="preserve">, and wider </w:t>
      </w:r>
      <w:r>
        <w:rPr>
          <w:rFonts w:cstheme="minorHAnsi"/>
        </w:rPr>
        <w:t xml:space="preserve">school </w:t>
      </w:r>
      <w:r w:rsidR="00773B99" w:rsidRPr="008F4F24">
        <w:rPr>
          <w:rFonts w:cstheme="minorHAnsi"/>
        </w:rPr>
        <w:t xml:space="preserve">team </w:t>
      </w:r>
      <w:r w:rsidR="000C5585" w:rsidRPr="008F4F24">
        <w:rPr>
          <w:rFonts w:cstheme="minorHAnsi"/>
        </w:rPr>
        <w:t xml:space="preserve">is responsible for supporting the </w:t>
      </w:r>
      <w:r w:rsidR="00773B99" w:rsidRPr="008F4F24">
        <w:rPr>
          <w:rFonts w:cstheme="minorHAnsi"/>
        </w:rPr>
        <w:t>effective implementation of this policy.</w:t>
      </w:r>
    </w:p>
    <w:p w14:paraId="2C113FCE" w14:textId="723AFB6B" w:rsidR="00773B99" w:rsidRDefault="00773B99" w:rsidP="00773B99">
      <w:pPr>
        <w:jc w:val="both"/>
        <w:rPr>
          <w:rFonts w:cstheme="minorHAnsi"/>
          <w:b/>
        </w:rPr>
      </w:pPr>
      <w:r w:rsidRPr="00FB4AE0">
        <w:rPr>
          <w:rFonts w:cstheme="minorHAnsi"/>
          <w:b/>
        </w:rPr>
        <w:t>Delivery staff are responsible for:</w:t>
      </w:r>
    </w:p>
    <w:p w14:paraId="54B88ED7" w14:textId="6EA7D656" w:rsidR="00CC696A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CC696A">
        <w:rPr>
          <w:rFonts w:cstheme="minorHAnsi"/>
        </w:rPr>
        <w:t>Planning effective learning experiences</w:t>
      </w:r>
      <w:r w:rsidR="00CC696A" w:rsidRPr="00CC696A">
        <w:rPr>
          <w:rFonts w:cstheme="minorHAnsi"/>
        </w:rPr>
        <w:t xml:space="preserve"> that are guided by the </w:t>
      </w:r>
      <w:hyperlink r:id="rId15" w:anchor="principles-of-progression" w:history="1">
        <w:r w:rsidR="00CC696A" w:rsidRPr="00CC696A">
          <w:rPr>
            <w:rFonts w:cstheme="minorHAnsi"/>
          </w:rPr>
          <w:t>principles of progression</w:t>
        </w:r>
      </w:hyperlink>
      <w:r w:rsidR="00CC696A" w:rsidRPr="00CC696A">
        <w:rPr>
          <w:rFonts w:cstheme="minorHAnsi"/>
        </w:rPr>
        <w:t> and the descriptions of learning</w:t>
      </w:r>
      <w:r w:rsidR="00CC696A">
        <w:rPr>
          <w:rFonts w:cstheme="minorHAnsi"/>
        </w:rPr>
        <w:t xml:space="preserve">, </w:t>
      </w:r>
      <w:r w:rsidR="00CC696A" w:rsidRPr="00CC696A">
        <w:rPr>
          <w:rFonts w:cstheme="minorHAnsi"/>
        </w:rPr>
        <w:t>articulated in the Curriculum for Wales guidance.</w:t>
      </w:r>
    </w:p>
    <w:p w14:paraId="37D6A5DE" w14:textId="50670B32" w:rsidR="00E44F53" w:rsidRDefault="00E44F53" w:rsidP="37A3EC3D">
      <w:pPr>
        <w:pStyle w:val="ListParagraph"/>
        <w:numPr>
          <w:ilvl w:val="0"/>
          <w:numId w:val="1"/>
        </w:numPr>
        <w:jc w:val="both"/>
      </w:pPr>
      <w:r w:rsidRPr="37A3EC3D">
        <w:t>Planning effective learning exp</w:t>
      </w:r>
      <w:r w:rsidRPr="009613C0">
        <w:t xml:space="preserve">eriences that include </w:t>
      </w:r>
      <w:r w:rsidRPr="009613C0">
        <w:rPr>
          <w:rFonts w:cstheme="minorHAnsi"/>
        </w:rPr>
        <w:t xml:space="preserve">mandatory </w:t>
      </w:r>
      <w:hyperlink r:id="rId16" w:anchor="cross-curricular-skills" w:history="1">
        <w:r w:rsidRPr="009613C0">
          <w:rPr>
            <w:rStyle w:val="Hyperlink"/>
            <w:rFonts w:cstheme="minorHAnsi"/>
            <w:b/>
            <w:bCs/>
            <w:color w:val="0360A6"/>
            <w:bdr w:val="none" w:sz="0" w:space="0" w:color="auto" w:frame="1"/>
          </w:rPr>
          <w:t>cross-curricular skills</w:t>
        </w:r>
      </w:hyperlink>
      <w:r w:rsidRPr="009613C0">
        <w:rPr>
          <w:rStyle w:val="Hyperlink"/>
          <w:rFonts w:cstheme="minorHAnsi"/>
          <w:b/>
          <w:bCs/>
          <w:color w:val="0360A6"/>
          <w:bdr w:val="none" w:sz="0" w:space="0" w:color="auto" w:frame="1"/>
        </w:rPr>
        <w:t xml:space="preserve"> </w:t>
      </w:r>
      <w:r w:rsidRPr="009613C0">
        <w:rPr>
          <w:rFonts w:cstheme="minorHAnsi"/>
        </w:rPr>
        <w:t>of</w:t>
      </w:r>
      <w:r w:rsidRPr="009613C0">
        <w:t xml:space="preserve"> literacy, </w:t>
      </w:r>
      <w:r w:rsidR="5B8DE8E4" w:rsidRPr="009613C0">
        <w:t>numeracy,</w:t>
      </w:r>
      <w:r w:rsidRPr="009613C0">
        <w:t xml:space="preserve"> and digital competence</w:t>
      </w:r>
    </w:p>
    <w:p w14:paraId="77F79340" w14:textId="50892ED6" w:rsidR="00E44F53" w:rsidRDefault="00E44F53" w:rsidP="37A3EC3D">
      <w:pPr>
        <w:pStyle w:val="ListParagraph"/>
        <w:numPr>
          <w:ilvl w:val="0"/>
          <w:numId w:val="1"/>
        </w:numPr>
        <w:jc w:val="both"/>
      </w:pPr>
      <w:r w:rsidRPr="37A3EC3D">
        <w:t xml:space="preserve">Planning effective learning experiences that include RSE (relationships and sexuality education) and RVE (religion, </w:t>
      </w:r>
      <w:r w:rsidR="21764E34" w:rsidRPr="37A3EC3D">
        <w:t>values,</w:t>
      </w:r>
      <w:r w:rsidRPr="37A3EC3D">
        <w:t xml:space="preserve"> and ethics) </w:t>
      </w:r>
    </w:p>
    <w:p w14:paraId="60CDA2E2" w14:textId="44782DD4" w:rsidR="00932589" w:rsidRPr="00CC696A" w:rsidRDefault="00CC696A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Planning effective assessment arrangements and classroom practices </w:t>
      </w:r>
      <w:r w:rsidR="00932589" w:rsidRPr="00CC696A">
        <w:rPr>
          <w:rFonts w:cstheme="minorHAnsi"/>
        </w:rPr>
        <w:t xml:space="preserve">that are appropriate to the age and development of each individual pupil. </w:t>
      </w:r>
    </w:p>
    <w:p w14:paraId="4A749A6D" w14:textId="3CF72CC6" w:rsidR="005667D8" w:rsidRPr="00343C5E" w:rsidRDefault="00932589" w:rsidP="00343C5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>Planning and delivering learning experiences which have assessment embedded within.</w:t>
      </w:r>
    </w:p>
    <w:p w14:paraId="0FBEEF20" w14:textId="2B31F698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>Enabl</w:t>
      </w:r>
      <w:r w:rsidR="00343C5E">
        <w:rPr>
          <w:rFonts w:cstheme="minorHAnsi"/>
        </w:rPr>
        <w:t>ing</w:t>
      </w:r>
      <w:r w:rsidRPr="00932589">
        <w:rPr>
          <w:rFonts w:cstheme="minorHAnsi"/>
        </w:rPr>
        <w:t xml:space="preserve"> </w:t>
      </w:r>
      <w:r>
        <w:rPr>
          <w:rFonts w:cstheme="minorHAnsi"/>
        </w:rPr>
        <w:t xml:space="preserve">pupils </w:t>
      </w:r>
      <w:r w:rsidRPr="00932589">
        <w:rPr>
          <w:rFonts w:cstheme="minorHAnsi"/>
        </w:rPr>
        <w:t>to appreciate where they are in their learning, where they need to go next and how they will get there</w:t>
      </w:r>
    </w:p>
    <w:p w14:paraId="7792CF2F" w14:textId="58ECC84C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>Support</w:t>
      </w:r>
      <w:r w:rsidR="00343C5E">
        <w:rPr>
          <w:rFonts w:cstheme="minorHAnsi"/>
        </w:rPr>
        <w:t>ing</w:t>
      </w:r>
      <w:r w:rsidRPr="00932589">
        <w:rPr>
          <w:rFonts w:cstheme="minorHAnsi"/>
        </w:rPr>
        <w:t xml:space="preserve"> and challeng</w:t>
      </w:r>
      <w:r w:rsidR="00343C5E">
        <w:rPr>
          <w:rFonts w:cstheme="minorHAnsi"/>
        </w:rPr>
        <w:t xml:space="preserve">ing </w:t>
      </w:r>
      <w:r>
        <w:rPr>
          <w:rFonts w:cstheme="minorHAnsi"/>
        </w:rPr>
        <w:t>pupils</w:t>
      </w:r>
      <w:r w:rsidRPr="00932589">
        <w:rPr>
          <w:rFonts w:cstheme="minorHAnsi"/>
        </w:rPr>
        <w:t xml:space="preserve"> effectively to ensure they make progress </w:t>
      </w:r>
    </w:p>
    <w:p w14:paraId="39529B2B" w14:textId="701040C1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Supporting the promotion of </w:t>
      </w:r>
      <w:r>
        <w:rPr>
          <w:rFonts w:cstheme="minorHAnsi"/>
        </w:rPr>
        <w:t>pupil</w:t>
      </w:r>
      <w:r w:rsidRPr="00932589">
        <w:rPr>
          <w:rFonts w:cstheme="minorHAnsi"/>
        </w:rPr>
        <w:t xml:space="preserve"> well-being through assessment practice</w:t>
      </w:r>
    </w:p>
    <w:p w14:paraId="3117A1CE" w14:textId="714B0BFD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Sharing intended learning appropriately with </w:t>
      </w:r>
      <w:r>
        <w:rPr>
          <w:rFonts w:cstheme="minorHAnsi"/>
        </w:rPr>
        <w:t xml:space="preserve">pupils </w:t>
      </w:r>
    </w:p>
    <w:p w14:paraId="72A725DD" w14:textId="44C6356C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>Evaluating learning, including through observation, questioning and discussion</w:t>
      </w:r>
    </w:p>
    <w:p w14:paraId="11647ACF" w14:textId="615B4BF6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Using </w:t>
      </w:r>
      <w:r>
        <w:rPr>
          <w:rFonts w:cstheme="minorHAnsi"/>
        </w:rPr>
        <w:t>information</w:t>
      </w:r>
      <w:r w:rsidRPr="00932589">
        <w:rPr>
          <w:rFonts w:cstheme="minorHAnsi"/>
        </w:rPr>
        <w:t xml:space="preserve"> gained from ongoing assessment to reflect on own practice to inform next steps in teaching and planning for learning</w:t>
      </w:r>
    </w:p>
    <w:p w14:paraId="56C823DA" w14:textId="6A391CF4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Providing relevant and focused feedback that actively engages </w:t>
      </w:r>
      <w:r>
        <w:rPr>
          <w:rFonts w:cstheme="minorHAnsi"/>
        </w:rPr>
        <w:t>pupils</w:t>
      </w:r>
      <w:r w:rsidRPr="00932589">
        <w:rPr>
          <w:rFonts w:cstheme="minorHAnsi"/>
        </w:rPr>
        <w:t>, encourages them to take responsibility for their learning, and moves their learning forward</w:t>
      </w:r>
    </w:p>
    <w:p w14:paraId="57143511" w14:textId="19453E8C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Encouraging </w:t>
      </w:r>
      <w:r>
        <w:rPr>
          <w:rFonts w:cstheme="minorHAnsi"/>
        </w:rPr>
        <w:t>pupils</w:t>
      </w:r>
      <w:r w:rsidRPr="00932589">
        <w:rPr>
          <w:rFonts w:cstheme="minorHAnsi"/>
        </w:rPr>
        <w:t xml:space="preserve"> to reflect on their progress and, where appropriate, to consider how they have developed, what learning processes they have undertaken and what they have achieved</w:t>
      </w:r>
    </w:p>
    <w:p w14:paraId="3D44A2F8" w14:textId="46DE5FE8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Providing opportunities for </w:t>
      </w:r>
      <w:r>
        <w:rPr>
          <w:rFonts w:cstheme="minorHAnsi"/>
        </w:rPr>
        <w:t>pupils</w:t>
      </w:r>
      <w:r w:rsidRPr="00932589">
        <w:rPr>
          <w:rFonts w:cstheme="minorHAnsi"/>
        </w:rPr>
        <w:t xml:space="preserve"> to engage in assessing their own work and that of their peers, and supporting them to develop the relevant skills to do this effectively</w:t>
      </w:r>
    </w:p>
    <w:p w14:paraId="0D2CDD1D" w14:textId="26E24B51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Developing </w:t>
      </w:r>
      <w:r>
        <w:rPr>
          <w:rFonts w:cstheme="minorHAnsi"/>
        </w:rPr>
        <w:t>pupils</w:t>
      </w:r>
      <w:r w:rsidRPr="00932589">
        <w:rPr>
          <w:rFonts w:cstheme="minorHAnsi"/>
        </w:rPr>
        <w:t>’ skills in making effective use of a range of feedback to move their learning forward</w:t>
      </w:r>
    </w:p>
    <w:p w14:paraId="0D2B4CEC" w14:textId="4CB12A3B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Involving parents and carers in </w:t>
      </w:r>
      <w:r w:rsidR="00CC696A">
        <w:rPr>
          <w:rFonts w:cstheme="minorHAnsi"/>
        </w:rPr>
        <w:t>pupil’s</w:t>
      </w:r>
      <w:r w:rsidRPr="00932589">
        <w:rPr>
          <w:rFonts w:cstheme="minorHAnsi"/>
        </w:rPr>
        <w:t xml:space="preserve"> development and progression, with the </w:t>
      </w:r>
      <w:r w:rsidR="00375118">
        <w:rPr>
          <w:rFonts w:cstheme="minorHAnsi"/>
        </w:rPr>
        <w:t>pupil’s</w:t>
      </w:r>
      <w:r>
        <w:rPr>
          <w:rFonts w:cstheme="minorHAnsi"/>
        </w:rPr>
        <w:t xml:space="preserve"> </w:t>
      </w:r>
      <w:r w:rsidRPr="00932589">
        <w:rPr>
          <w:rFonts w:cstheme="minorHAnsi"/>
        </w:rPr>
        <w:t>involvement in this dialogue increasing over time</w:t>
      </w:r>
    </w:p>
    <w:p w14:paraId="5132B3BA" w14:textId="225851AB" w:rsidR="00932589" w:rsidRPr="00932589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>Engaging in dialogue with leaders and fellow practitioners to ensure they have a clear picture of the progress being made within their school</w:t>
      </w:r>
    </w:p>
    <w:p w14:paraId="076183AF" w14:textId="1F3D1A82" w:rsidR="00375118" w:rsidRPr="00375118" w:rsidRDefault="00932589" w:rsidP="00E94E0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32589">
        <w:rPr>
          <w:rFonts w:cstheme="minorHAnsi"/>
        </w:rPr>
        <w:t xml:space="preserve">Identifying any additional challenge or support </w:t>
      </w:r>
      <w:r>
        <w:rPr>
          <w:rFonts w:cstheme="minorHAnsi"/>
        </w:rPr>
        <w:t xml:space="preserve">pupils </w:t>
      </w:r>
      <w:r w:rsidRPr="00932589">
        <w:rPr>
          <w:rFonts w:cstheme="minorHAnsi"/>
        </w:rPr>
        <w:t>may require, engaging with external partners where necessary</w:t>
      </w:r>
    </w:p>
    <w:p w14:paraId="5B134473" w14:textId="08FFF02F" w:rsidR="00773B99" w:rsidRPr="00773B99" w:rsidRDefault="00375118" w:rsidP="00E94E0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C</w:t>
      </w:r>
      <w:r w:rsidR="00773B99">
        <w:t>ompleting and retaining sufficient assessment records of all learners</w:t>
      </w:r>
    </w:p>
    <w:p w14:paraId="0BC75898" w14:textId="4A7B15A7" w:rsidR="00773B99" w:rsidRDefault="00375118" w:rsidP="00E94E0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="00773B99" w:rsidRPr="00773B99">
        <w:rPr>
          <w:rFonts w:cstheme="minorHAnsi"/>
        </w:rPr>
        <w:t>aintaining and updating learner progress records as per awarding organisation and internal requirements, whilst maintaining confidentiality and security of learner and employer details and</w:t>
      </w:r>
      <w:r w:rsidR="00773B99">
        <w:rPr>
          <w:rFonts w:cstheme="minorHAnsi"/>
        </w:rPr>
        <w:t xml:space="preserve"> </w:t>
      </w:r>
      <w:r w:rsidR="00773B99" w:rsidRPr="00773B99">
        <w:rPr>
          <w:rFonts w:cstheme="minorHAnsi"/>
        </w:rPr>
        <w:t>assessment documentation</w:t>
      </w:r>
    </w:p>
    <w:p w14:paraId="00D888DC" w14:textId="0708CFD2" w:rsidR="00773B99" w:rsidRPr="00773B99" w:rsidRDefault="00375118" w:rsidP="00E94E0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F</w:t>
      </w:r>
      <w:r w:rsidR="00773B99">
        <w:t>ollowing all policies related to and cited in the TLA Policy</w:t>
      </w:r>
    </w:p>
    <w:p w14:paraId="043339E0" w14:textId="7E42B438" w:rsidR="00773B99" w:rsidRDefault="00375118" w:rsidP="37A3EC3D">
      <w:pPr>
        <w:pStyle w:val="ListParagraph"/>
        <w:numPr>
          <w:ilvl w:val="0"/>
          <w:numId w:val="2"/>
        </w:numPr>
        <w:jc w:val="both"/>
      </w:pPr>
      <w:r w:rsidRPr="37A3EC3D">
        <w:lastRenderedPageBreak/>
        <w:t>S</w:t>
      </w:r>
      <w:r w:rsidR="00773B99" w:rsidRPr="37A3EC3D">
        <w:t xml:space="preserve">ignposting learners for additional support including literacy, numeracy, digital </w:t>
      </w:r>
      <w:r w:rsidR="291B9936" w:rsidRPr="37A3EC3D">
        <w:t>literacy,</w:t>
      </w:r>
      <w:r w:rsidR="00773B99" w:rsidRPr="37A3EC3D">
        <w:t xml:space="preserve"> or other additional learning needs, as appropriate as soon as identified</w:t>
      </w:r>
    </w:p>
    <w:p w14:paraId="62DF0FFA" w14:textId="6DC20E4C" w:rsidR="00773B99" w:rsidRPr="00AF010C" w:rsidRDefault="00343C5E" w:rsidP="37A3EC3D">
      <w:pPr>
        <w:pStyle w:val="ListParagraph"/>
        <w:numPr>
          <w:ilvl w:val="0"/>
          <w:numId w:val="2"/>
        </w:numPr>
        <w:jc w:val="both"/>
      </w:pPr>
      <w:r>
        <w:t>P</w:t>
      </w:r>
      <w:r w:rsidR="00773B99">
        <w:t>rovid</w:t>
      </w:r>
      <w:r>
        <w:t>ing</w:t>
      </w:r>
      <w:r w:rsidR="00773B99">
        <w:t xml:space="preserve"> feedback to learners to support development, using coaching techniques, where appropriate, including appropriate references to spelling, </w:t>
      </w:r>
      <w:r w:rsidR="2119121F">
        <w:t>grammar,</w:t>
      </w:r>
      <w:r w:rsidR="00773B99">
        <w:t xml:space="preserve"> and punctuation</w:t>
      </w:r>
    </w:p>
    <w:p w14:paraId="7715C97C" w14:textId="7D7BF0F4" w:rsidR="00AF010C" w:rsidRPr="00AF010C" w:rsidRDefault="005A5AE6" w:rsidP="00E94E0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U</w:t>
      </w:r>
      <w:r w:rsidR="00AF010C">
        <w:t xml:space="preserve">sing technology, where possible, to enhance course delivery and assessment </w:t>
      </w:r>
    </w:p>
    <w:p w14:paraId="30711845" w14:textId="6C8701CD" w:rsidR="00375118" w:rsidRPr="00E323A2" w:rsidRDefault="005A5AE6" w:rsidP="00E94E0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I</w:t>
      </w:r>
      <w:r w:rsidR="00AF010C">
        <w:t>dentifying where further learning, stretch and challenge and developed discussion opportunities arise naturally and amending practice ad hoc</w:t>
      </w:r>
    </w:p>
    <w:p w14:paraId="7FB565C3" w14:textId="3D0E8DEF" w:rsidR="00375118" w:rsidRPr="000C5585" w:rsidRDefault="00375118" w:rsidP="00375118">
      <w:pPr>
        <w:jc w:val="both"/>
        <w:rPr>
          <w:rFonts w:cstheme="minorHAnsi"/>
          <w:b/>
        </w:rPr>
      </w:pPr>
      <w:r w:rsidRPr="000C5585">
        <w:rPr>
          <w:rFonts w:cstheme="minorHAnsi"/>
          <w:b/>
        </w:rPr>
        <w:t>Tracking and monitoring guidance</w:t>
      </w:r>
      <w:r w:rsidR="00FB4AE0" w:rsidRPr="000C5585">
        <w:rPr>
          <w:rFonts w:cstheme="minorHAnsi"/>
          <w:b/>
        </w:rPr>
        <w:t xml:space="preserve">/process </w:t>
      </w:r>
    </w:p>
    <w:p w14:paraId="6D0DF607" w14:textId="77777777" w:rsidR="00375118" w:rsidRPr="00FB4AE0" w:rsidRDefault="00375118" w:rsidP="00E94E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B4AE0">
        <w:rPr>
          <w:rFonts w:cstheme="minorHAnsi"/>
        </w:rPr>
        <w:t xml:space="preserve">In line with the NC4W all formative and summative assessments should be aligned to the statements of what matters and progression steps. </w:t>
      </w:r>
    </w:p>
    <w:p w14:paraId="2058DDE3" w14:textId="77777777" w:rsidR="00FB4AE0" w:rsidRDefault="00375118" w:rsidP="00E94E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B4AE0">
        <w:rPr>
          <w:rFonts w:cstheme="minorHAnsi"/>
        </w:rPr>
        <w:t xml:space="preserve">At the start of term (September) all pupils should sit a subject specific assessment to establish current knowledge and current progress steps. Data to be recorded and saved – no later than the first week of October </w:t>
      </w:r>
    </w:p>
    <w:p w14:paraId="1EDFA848" w14:textId="77777777" w:rsidR="00FB4AE0" w:rsidRDefault="00375118" w:rsidP="00E94E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B4AE0">
        <w:rPr>
          <w:rFonts w:cstheme="minorHAnsi"/>
        </w:rPr>
        <w:t>Throughout autumn term teaching, learning and formative assessments should be planned and implemented that allow</w:t>
      </w:r>
      <w:r w:rsidR="00FB4AE0">
        <w:rPr>
          <w:rFonts w:cstheme="minorHAnsi"/>
        </w:rPr>
        <w:t xml:space="preserve">s pupils </w:t>
      </w:r>
      <w:r w:rsidRPr="00FB4AE0">
        <w:rPr>
          <w:rFonts w:cstheme="minorHAnsi"/>
        </w:rPr>
        <w:t xml:space="preserve">to progress from their starting point. </w:t>
      </w:r>
    </w:p>
    <w:p w14:paraId="5AA5649D" w14:textId="01CEF1EB" w:rsidR="00FB4AE0" w:rsidRDefault="00375118" w:rsidP="37A3EC3D">
      <w:pPr>
        <w:pStyle w:val="ListParagraph"/>
        <w:numPr>
          <w:ilvl w:val="0"/>
          <w:numId w:val="3"/>
        </w:numPr>
        <w:jc w:val="both"/>
      </w:pPr>
      <w:r w:rsidRPr="37A3EC3D">
        <w:t>Towards the end of Autumn term all pupils should sit another</w:t>
      </w:r>
      <w:r w:rsidR="00FB4AE0" w:rsidRPr="37A3EC3D">
        <w:t xml:space="preserve"> </w:t>
      </w:r>
      <w:r w:rsidRPr="37A3EC3D">
        <w:t>subject specific assessment to establish progress</w:t>
      </w:r>
      <w:r w:rsidR="362C794F" w:rsidRPr="37A3EC3D">
        <w:t xml:space="preserve">. </w:t>
      </w:r>
      <w:r w:rsidRPr="37A3EC3D">
        <w:t xml:space="preserve">Other assessment data can also be used to inform progress </w:t>
      </w:r>
      <w:r w:rsidR="1175973E" w:rsidRPr="37A3EC3D">
        <w:t>i.e.,</w:t>
      </w:r>
      <w:r w:rsidRPr="37A3EC3D">
        <w:t xml:space="preserve"> mock exams. Data is to be recorded and saved</w:t>
      </w:r>
    </w:p>
    <w:p w14:paraId="5BA2F78C" w14:textId="77777777" w:rsidR="00FB4AE0" w:rsidRDefault="00375118" w:rsidP="00E94E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B4AE0">
        <w:rPr>
          <w:rFonts w:cstheme="minorHAnsi"/>
        </w:rPr>
        <w:t xml:space="preserve">Throughout spring term teaching, learning and formative assessments should be planned and implemented that allow learners to progress and demonstrate knowledge. </w:t>
      </w:r>
    </w:p>
    <w:p w14:paraId="5E1DF240" w14:textId="438267F7" w:rsidR="00FB4AE0" w:rsidRDefault="00375118" w:rsidP="37A3EC3D">
      <w:pPr>
        <w:pStyle w:val="ListParagraph"/>
        <w:numPr>
          <w:ilvl w:val="0"/>
          <w:numId w:val="3"/>
        </w:numPr>
        <w:jc w:val="both"/>
      </w:pPr>
      <w:r w:rsidRPr="37A3EC3D">
        <w:t>Towards the end of spring term all pupils should sit another subject specific assessment to establish progress</w:t>
      </w:r>
      <w:r w:rsidR="3C982532" w:rsidRPr="37A3EC3D">
        <w:t xml:space="preserve">. </w:t>
      </w:r>
      <w:r w:rsidRPr="37A3EC3D">
        <w:t xml:space="preserve">Other assessment data can also be used to inform progress </w:t>
      </w:r>
      <w:r w:rsidR="7CE3876A" w:rsidRPr="37A3EC3D">
        <w:t>i.e.,</w:t>
      </w:r>
      <w:r w:rsidRPr="37A3EC3D">
        <w:t xml:space="preserve"> mock exams. Data is to be recorded and saved. </w:t>
      </w:r>
    </w:p>
    <w:p w14:paraId="1F8BBF9A" w14:textId="77777777" w:rsidR="00FB4AE0" w:rsidRDefault="00375118" w:rsidP="00E94E0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B4AE0">
        <w:rPr>
          <w:rFonts w:cstheme="minorHAnsi"/>
        </w:rPr>
        <w:t xml:space="preserve">At the start of summer term teaching, learning and formative assessments should be planned and implemented that allow learners to progress and demonstrate knowledge. </w:t>
      </w:r>
    </w:p>
    <w:p w14:paraId="784EBCFE" w14:textId="5F972631" w:rsidR="00375118" w:rsidRPr="00FB4AE0" w:rsidRDefault="00375118" w:rsidP="37A3EC3D">
      <w:pPr>
        <w:pStyle w:val="ListParagraph"/>
        <w:numPr>
          <w:ilvl w:val="0"/>
          <w:numId w:val="3"/>
        </w:numPr>
        <w:jc w:val="both"/>
      </w:pPr>
      <w:r w:rsidRPr="37A3EC3D">
        <w:t>Towards the end of summer term all pupils (apart from Y11) should sit another subject specific assessment to establish progress</w:t>
      </w:r>
      <w:r w:rsidR="1B874041" w:rsidRPr="37A3EC3D">
        <w:t xml:space="preserve">. </w:t>
      </w:r>
      <w:r w:rsidRPr="37A3EC3D">
        <w:t xml:space="preserve">Other assessment data can also be used to inform progress </w:t>
      </w:r>
      <w:r w:rsidR="21932232" w:rsidRPr="37A3EC3D">
        <w:t>i.e.,</w:t>
      </w:r>
      <w:r w:rsidRPr="37A3EC3D">
        <w:t xml:space="preserve"> mock exams. Data is to be recorded and saved</w:t>
      </w:r>
    </w:p>
    <w:p w14:paraId="1AAAA239" w14:textId="14C997E6" w:rsidR="007A7027" w:rsidRDefault="00F52E2D" w:rsidP="007A7027">
      <w:pPr>
        <w:jc w:val="both"/>
        <w:rPr>
          <w:rFonts w:eastAsiaTheme="majorEastAsia" w:cstheme="majorBidi"/>
          <w:b/>
          <w:color w:val="7030A0"/>
          <w:sz w:val="28"/>
          <w:szCs w:val="24"/>
        </w:rPr>
      </w:pPr>
      <w:r w:rsidRPr="00133025">
        <w:rPr>
          <w:rFonts w:eastAsiaTheme="majorEastAsia" w:cstheme="majorBidi"/>
          <w:b/>
          <w:color w:val="7030A0"/>
          <w:sz w:val="28"/>
          <w:szCs w:val="24"/>
        </w:rPr>
        <w:t>Communication and Storage</w:t>
      </w:r>
    </w:p>
    <w:p w14:paraId="47B163CA" w14:textId="7B4E05A9" w:rsidR="000C5585" w:rsidRPr="000C5585" w:rsidRDefault="00AF010C" w:rsidP="000C5585">
      <w:pPr>
        <w:jc w:val="both"/>
        <w:rPr>
          <w:rFonts w:cstheme="minorHAnsi"/>
        </w:rPr>
      </w:pPr>
      <w:r>
        <w:rPr>
          <w:rFonts w:cstheme="minorHAnsi"/>
        </w:rPr>
        <w:t>This policy will be stored and communicated via the ACT Schools HR System, IRIS HR.</w:t>
      </w:r>
    </w:p>
    <w:p w14:paraId="7E8F1BA6" w14:textId="27A234A0" w:rsidR="00BB494B" w:rsidRDefault="00F52E2D" w:rsidP="007A7027">
      <w:pPr>
        <w:spacing w:after="360"/>
        <w:rPr>
          <w:rFonts w:cstheme="minorHAnsi"/>
        </w:rPr>
      </w:pPr>
      <w:r w:rsidRPr="00133025">
        <w:rPr>
          <w:rFonts w:eastAsiaTheme="majorEastAsia" w:cstheme="majorBidi"/>
          <w:b/>
          <w:color w:val="7030A0"/>
          <w:sz w:val="28"/>
          <w:szCs w:val="24"/>
        </w:rPr>
        <w:t>Document / Policy Change Request</w:t>
      </w:r>
      <w:r w:rsidRPr="00133025">
        <w:rPr>
          <w:rFonts w:eastAsiaTheme="majorEastAsia" w:cstheme="majorBidi"/>
          <w:b/>
          <w:color w:val="7030A0"/>
          <w:sz w:val="28"/>
          <w:szCs w:val="24"/>
        </w:rPr>
        <w:br/>
      </w:r>
      <w:r w:rsidR="00E323A2" w:rsidRPr="00FA47D4">
        <w:rPr>
          <w:rFonts w:cstheme="minorHAnsi"/>
        </w:rPr>
        <w:t xml:space="preserve">The policy will be reviewed at least on an annual basis by the </w:t>
      </w:r>
      <w:r w:rsidR="00E323A2">
        <w:rPr>
          <w:rFonts w:cstheme="minorHAnsi"/>
        </w:rPr>
        <w:t>Head of 11-16 Education and the Head of Continuous Improvement</w:t>
      </w:r>
      <w:r w:rsidR="007A7027">
        <w:rPr>
          <w:rFonts w:cstheme="minorHAnsi"/>
        </w:rPr>
        <w:t>.</w:t>
      </w:r>
    </w:p>
    <w:p w14:paraId="76A336CC" w14:textId="2D0C89D3" w:rsidR="00CC350A" w:rsidRDefault="00F52E2D" w:rsidP="00CC350A">
      <w:pPr>
        <w:spacing w:after="0"/>
        <w:rPr>
          <w:rFonts w:cstheme="minorHAnsi"/>
        </w:rPr>
      </w:pPr>
      <w:r w:rsidRPr="00133025">
        <w:rPr>
          <w:rFonts w:eastAsiaTheme="majorEastAsia" w:cstheme="majorBidi"/>
          <w:b/>
          <w:color w:val="7030A0"/>
          <w:sz w:val="28"/>
          <w:szCs w:val="24"/>
        </w:rPr>
        <w:t>Document / Policy Reviewing and Approving</w:t>
      </w:r>
      <w:r w:rsidRPr="00133025">
        <w:rPr>
          <w:rFonts w:eastAsiaTheme="majorEastAsia" w:cstheme="majorBidi"/>
          <w:b/>
          <w:color w:val="7030A0"/>
          <w:sz w:val="28"/>
          <w:szCs w:val="24"/>
        </w:rPr>
        <w:br/>
      </w:r>
      <w:r w:rsidR="007A7027" w:rsidRPr="00FA47D4">
        <w:rPr>
          <w:rFonts w:cstheme="minorHAnsi"/>
        </w:rPr>
        <w:t xml:space="preserve">The policy will be reviewed at least on an annual basis by the </w:t>
      </w:r>
      <w:r w:rsidR="00E323A2">
        <w:rPr>
          <w:rFonts w:cstheme="minorHAnsi"/>
        </w:rPr>
        <w:t>Head of 11-16 Education and the Head of Continuous Improvement</w:t>
      </w:r>
    </w:p>
    <w:p w14:paraId="55102F7B" w14:textId="77777777" w:rsidR="00E323A2" w:rsidRDefault="00E323A2" w:rsidP="00CC350A">
      <w:pPr>
        <w:spacing w:after="0"/>
        <w:rPr>
          <w:rFonts w:eastAsiaTheme="majorEastAsia" w:cstheme="majorBidi"/>
          <w:b/>
          <w:color w:val="7030A0"/>
          <w:sz w:val="28"/>
          <w:szCs w:val="24"/>
        </w:rPr>
      </w:pPr>
    </w:p>
    <w:p w14:paraId="56D8A0B9" w14:textId="6BACE9F7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7030A0"/>
          <w:sz w:val="28"/>
          <w:szCs w:val="28"/>
        </w:rPr>
      </w:pPr>
      <w:r w:rsidRPr="3B3F6DB1">
        <w:rPr>
          <w:rFonts w:ascii="Calibri" w:eastAsia="Calibri" w:hAnsi="Calibri" w:cs="Calibri"/>
          <w:b/>
          <w:bCs/>
          <w:color w:val="7030A0"/>
          <w:sz w:val="28"/>
          <w:szCs w:val="28"/>
        </w:rPr>
        <w:t>Links with other policies</w:t>
      </w:r>
    </w:p>
    <w:p w14:paraId="7EF31E29" w14:textId="10923EDB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B3F6DB1">
        <w:rPr>
          <w:rFonts w:ascii="Calibri" w:eastAsia="Calibri" w:hAnsi="Calibri" w:cs="Calibri"/>
          <w:color w:val="000000" w:themeColor="text1"/>
        </w:rPr>
        <w:t xml:space="preserve">ALN Policy </w:t>
      </w:r>
    </w:p>
    <w:p w14:paraId="144712DC" w14:textId="0F573D70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B3F6DB1">
        <w:rPr>
          <w:rFonts w:ascii="Calibri" w:eastAsia="Calibri" w:hAnsi="Calibri" w:cs="Calibri"/>
          <w:color w:val="000000" w:themeColor="text1"/>
        </w:rPr>
        <w:t xml:space="preserve">Quality Policy </w:t>
      </w:r>
    </w:p>
    <w:p w14:paraId="69D35299" w14:textId="7BDFA157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B3F6DB1">
        <w:rPr>
          <w:rFonts w:ascii="Calibri" w:eastAsia="Calibri" w:hAnsi="Calibri" w:cs="Calibri"/>
          <w:color w:val="000000" w:themeColor="text1"/>
        </w:rPr>
        <w:t xml:space="preserve">Teaching, Learning &amp; Assessment Policy </w:t>
      </w:r>
    </w:p>
    <w:p w14:paraId="5C8104EA" w14:textId="367413FB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B3F6DB1">
        <w:rPr>
          <w:rFonts w:ascii="Calibri" w:eastAsia="Calibri" w:hAnsi="Calibri" w:cs="Calibri"/>
          <w:color w:val="000000" w:themeColor="text1"/>
        </w:rPr>
        <w:t xml:space="preserve">Professional Teaching Standards </w:t>
      </w:r>
    </w:p>
    <w:p w14:paraId="172A05D0" w14:textId="393BE7A8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B3F6DB1">
        <w:rPr>
          <w:rFonts w:ascii="Calibri" w:eastAsia="Calibri" w:hAnsi="Calibri" w:cs="Calibri"/>
          <w:color w:val="000000" w:themeColor="text1"/>
        </w:rPr>
        <w:lastRenderedPageBreak/>
        <w:t xml:space="preserve">Marking Guide </w:t>
      </w:r>
    </w:p>
    <w:p w14:paraId="2A35DCF7" w14:textId="4A771AE5" w:rsidR="56598016" w:rsidRDefault="56598016" w:rsidP="3B3F6D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B3F6DB1">
        <w:rPr>
          <w:rFonts w:ascii="Calibri" w:eastAsia="Calibri" w:hAnsi="Calibri" w:cs="Calibri"/>
          <w:color w:val="000000" w:themeColor="text1"/>
        </w:rPr>
        <w:t xml:space="preserve">Offsite Activity Policy </w:t>
      </w:r>
    </w:p>
    <w:p w14:paraId="1F6845D0" w14:textId="22019DDF" w:rsidR="00AF010C" w:rsidRPr="00F154C7" w:rsidRDefault="00AF010C" w:rsidP="00F154C7"/>
    <w:sectPr w:rsidR="00AF010C" w:rsidRPr="00F154C7" w:rsidSect="00BB494B">
      <w:headerReference w:type="default" r:id="rId17"/>
      <w:footerReference w:type="default" r:id="rId1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2662" w14:textId="77777777" w:rsidR="00C47A27" w:rsidRDefault="00C47A27" w:rsidP="00A34491">
      <w:pPr>
        <w:spacing w:after="0" w:line="240" w:lineRule="auto"/>
      </w:pPr>
      <w:r>
        <w:separator/>
      </w:r>
    </w:p>
  </w:endnote>
  <w:endnote w:type="continuationSeparator" w:id="0">
    <w:p w14:paraId="48FD5057" w14:textId="77777777" w:rsidR="00C47A27" w:rsidRDefault="00C47A27" w:rsidP="00A3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0A06" w14:textId="77777777" w:rsidR="009613C0" w:rsidRDefault="009613C0">
    <w:pPr>
      <w:pStyle w:val="Footer"/>
    </w:pPr>
  </w:p>
  <w:p w14:paraId="78D9423D" w14:textId="0B8C61EB" w:rsidR="00F6256E" w:rsidRDefault="00F6256E">
    <w:pPr>
      <w:pStyle w:val="Footer"/>
    </w:pPr>
    <w:r>
      <w:t>Version 6</w:t>
    </w:r>
    <w:r>
      <w:ptab w:relativeTo="margin" w:alignment="center" w:leader="none"/>
    </w:r>
    <w:r>
      <w:t>0</w:t>
    </w:r>
    <w:r w:rsidR="00E410A0">
      <w:t>5</w:t>
    </w:r>
    <w:r>
      <w:t>/02/2024</w:t>
    </w:r>
    <w:r>
      <w:ptab w:relativeTo="margin" w:alignment="right" w:leader="none"/>
    </w:r>
    <w:r>
      <w:t>Head of Continuous Improvement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6A92" w14:textId="77777777" w:rsidR="00C47A27" w:rsidRDefault="00C47A27" w:rsidP="00A34491">
      <w:pPr>
        <w:spacing w:after="0" w:line="240" w:lineRule="auto"/>
      </w:pPr>
      <w:r>
        <w:separator/>
      </w:r>
    </w:p>
  </w:footnote>
  <w:footnote w:type="continuationSeparator" w:id="0">
    <w:p w14:paraId="446B92C1" w14:textId="77777777" w:rsidR="00C47A27" w:rsidRDefault="00C47A27" w:rsidP="00A3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214C" w14:textId="15C40581" w:rsidR="005667D8" w:rsidRDefault="005667D8" w:rsidP="00D95B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BED41" wp14:editId="1C13DAD7">
          <wp:simplePos x="0" y="0"/>
          <wp:positionH relativeFrom="column">
            <wp:posOffset>3976</wp:posOffset>
          </wp:positionH>
          <wp:positionV relativeFrom="paragraph">
            <wp:posOffset>3009</wp:posOffset>
          </wp:positionV>
          <wp:extent cx="1773044" cy="783623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44" cy="783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mnzJg4G0" int2:invalidationBookmarkName="" int2:hashCode="30HHAZnkc4RXWk" int2:id="pEFMu9kK">
      <int2:state int2:type="AugLoop_Text_Critique" int2:value="Rejected"/>
    </int2:bookmark>
    <int2:bookmark int2:bookmarkName="_Int_p6QHVtHw" int2:invalidationBookmarkName="" int2:hashCode="EwcH4FIhM1SZFy" int2:id="Zf20Zkc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B1C"/>
    <w:multiLevelType w:val="hybridMultilevel"/>
    <w:tmpl w:val="3A88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238F"/>
    <w:multiLevelType w:val="hybridMultilevel"/>
    <w:tmpl w:val="DE38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A1F32"/>
    <w:multiLevelType w:val="multilevel"/>
    <w:tmpl w:val="DBF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42544"/>
    <w:multiLevelType w:val="hybridMultilevel"/>
    <w:tmpl w:val="965A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366D3"/>
    <w:multiLevelType w:val="hybridMultilevel"/>
    <w:tmpl w:val="EF9A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234A1"/>
    <w:multiLevelType w:val="hybridMultilevel"/>
    <w:tmpl w:val="7BA8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91"/>
    <w:rsid w:val="00020D9C"/>
    <w:rsid w:val="000C0F0A"/>
    <w:rsid w:val="000C5585"/>
    <w:rsid w:val="00192BE0"/>
    <w:rsid w:val="00196209"/>
    <w:rsid w:val="001A43C5"/>
    <w:rsid w:val="00215D58"/>
    <w:rsid w:val="0023384A"/>
    <w:rsid w:val="0024561F"/>
    <w:rsid w:val="0024714C"/>
    <w:rsid w:val="002D6D0C"/>
    <w:rsid w:val="00343C5E"/>
    <w:rsid w:val="00375118"/>
    <w:rsid w:val="00391C5F"/>
    <w:rsid w:val="003A7C30"/>
    <w:rsid w:val="003B4137"/>
    <w:rsid w:val="00436221"/>
    <w:rsid w:val="0047382A"/>
    <w:rsid w:val="00474BA6"/>
    <w:rsid w:val="004829DE"/>
    <w:rsid w:val="004C17EB"/>
    <w:rsid w:val="004F3D70"/>
    <w:rsid w:val="005313DD"/>
    <w:rsid w:val="005667D8"/>
    <w:rsid w:val="005A5AE6"/>
    <w:rsid w:val="005B6E8B"/>
    <w:rsid w:val="005F10AE"/>
    <w:rsid w:val="005F11AD"/>
    <w:rsid w:val="0065204E"/>
    <w:rsid w:val="00667753"/>
    <w:rsid w:val="006D4AF2"/>
    <w:rsid w:val="00714445"/>
    <w:rsid w:val="00734D9D"/>
    <w:rsid w:val="00744D79"/>
    <w:rsid w:val="00772BEE"/>
    <w:rsid w:val="00773B99"/>
    <w:rsid w:val="007A7027"/>
    <w:rsid w:val="008174F8"/>
    <w:rsid w:val="00824E52"/>
    <w:rsid w:val="00826C5C"/>
    <w:rsid w:val="00897C14"/>
    <w:rsid w:val="008C00C0"/>
    <w:rsid w:val="008D16E6"/>
    <w:rsid w:val="008F4F24"/>
    <w:rsid w:val="00932589"/>
    <w:rsid w:val="009613C0"/>
    <w:rsid w:val="00996821"/>
    <w:rsid w:val="009A487C"/>
    <w:rsid w:val="00A2572A"/>
    <w:rsid w:val="00A34491"/>
    <w:rsid w:val="00A52C09"/>
    <w:rsid w:val="00A770B2"/>
    <w:rsid w:val="00A81298"/>
    <w:rsid w:val="00AB2FAD"/>
    <w:rsid w:val="00AF010C"/>
    <w:rsid w:val="00B07B48"/>
    <w:rsid w:val="00B7012C"/>
    <w:rsid w:val="00B7067D"/>
    <w:rsid w:val="00BB494B"/>
    <w:rsid w:val="00C11E07"/>
    <w:rsid w:val="00C37D46"/>
    <w:rsid w:val="00C47A27"/>
    <w:rsid w:val="00C86F41"/>
    <w:rsid w:val="00CC350A"/>
    <w:rsid w:val="00CC696A"/>
    <w:rsid w:val="00CD2438"/>
    <w:rsid w:val="00D017FA"/>
    <w:rsid w:val="00D05E3A"/>
    <w:rsid w:val="00D95BF4"/>
    <w:rsid w:val="00DB4C65"/>
    <w:rsid w:val="00E11C6B"/>
    <w:rsid w:val="00E323A2"/>
    <w:rsid w:val="00E410A0"/>
    <w:rsid w:val="00E44F53"/>
    <w:rsid w:val="00E740AF"/>
    <w:rsid w:val="00E94E0F"/>
    <w:rsid w:val="00F154C7"/>
    <w:rsid w:val="00F437C5"/>
    <w:rsid w:val="00F52E2D"/>
    <w:rsid w:val="00F54D27"/>
    <w:rsid w:val="00F6256E"/>
    <w:rsid w:val="00F92743"/>
    <w:rsid w:val="00F96579"/>
    <w:rsid w:val="00FB4AE0"/>
    <w:rsid w:val="00FC2350"/>
    <w:rsid w:val="081AC924"/>
    <w:rsid w:val="1175973E"/>
    <w:rsid w:val="16AAAB98"/>
    <w:rsid w:val="1B874041"/>
    <w:rsid w:val="2119121F"/>
    <w:rsid w:val="21764E34"/>
    <w:rsid w:val="21932232"/>
    <w:rsid w:val="24543D37"/>
    <w:rsid w:val="2852C455"/>
    <w:rsid w:val="291B9936"/>
    <w:rsid w:val="2ABAD39B"/>
    <w:rsid w:val="2BB5255F"/>
    <w:rsid w:val="32F7C7AD"/>
    <w:rsid w:val="346C4B7B"/>
    <w:rsid w:val="362C794F"/>
    <w:rsid w:val="37A3EC3D"/>
    <w:rsid w:val="3B3F6DB1"/>
    <w:rsid w:val="3BEB6746"/>
    <w:rsid w:val="3C982532"/>
    <w:rsid w:val="41A6889A"/>
    <w:rsid w:val="52618E45"/>
    <w:rsid w:val="52EB87D7"/>
    <w:rsid w:val="5383F91D"/>
    <w:rsid w:val="56598016"/>
    <w:rsid w:val="5B8DE8E4"/>
    <w:rsid w:val="7CE38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54015F"/>
  <w15:chartTrackingRefBased/>
  <w15:docId w15:val="{BBCEFF88-7E90-45EC-B564-2F2B7796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2D"/>
  </w:style>
  <w:style w:type="paragraph" w:styleId="Heading2">
    <w:name w:val="heading 2"/>
    <w:basedOn w:val="Normal"/>
    <w:link w:val="Heading2Char"/>
    <w:uiPriority w:val="9"/>
    <w:qFormat/>
    <w:rsid w:val="00DB4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B4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91"/>
  </w:style>
  <w:style w:type="paragraph" w:styleId="Footer">
    <w:name w:val="footer"/>
    <w:basedOn w:val="Normal"/>
    <w:link w:val="FooterChar"/>
    <w:uiPriority w:val="99"/>
    <w:unhideWhenUsed/>
    <w:rsid w:val="00A3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9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11AD"/>
    <w:pPr>
      <w:ind w:left="720"/>
      <w:contextualSpacing/>
    </w:pPr>
  </w:style>
  <w:style w:type="paragraph" w:customStyle="1" w:styleId="paragraph">
    <w:name w:val="paragraph"/>
    <w:basedOn w:val="Normal"/>
    <w:rsid w:val="00D0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17FA"/>
  </w:style>
  <w:style w:type="character" w:customStyle="1" w:styleId="eop">
    <w:name w:val="eop"/>
    <w:basedOn w:val="DefaultParagraphFont"/>
    <w:rsid w:val="00D017FA"/>
  </w:style>
  <w:style w:type="character" w:styleId="Hyperlink">
    <w:name w:val="Hyperlink"/>
    <w:basedOn w:val="DefaultParagraphFont"/>
    <w:uiPriority w:val="99"/>
    <w:unhideWhenUsed/>
    <w:rsid w:val="005F1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2E2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B49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9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9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C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4C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4C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B4C65"/>
    <w:rPr>
      <w:b/>
      <w:bCs/>
    </w:rPr>
  </w:style>
  <w:style w:type="character" w:customStyle="1" w:styleId="callout-type">
    <w:name w:val="callout-type"/>
    <w:basedOn w:val="DefaultParagraphFont"/>
    <w:rsid w:val="00DB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974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31" w:color="2F9891"/>
            <w:bottom w:val="none" w:sz="0" w:space="0" w:color="auto"/>
            <w:right w:val="none" w:sz="0" w:space="0" w:color="auto"/>
          </w:divBdr>
          <w:divsChild>
            <w:div w:id="10396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060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31" w:color="2F9891"/>
            <w:bottom w:val="none" w:sz="0" w:space="0" w:color="auto"/>
            <w:right w:val="none" w:sz="0" w:space="0" w:color="auto"/>
          </w:divBdr>
          <w:divsChild>
            <w:div w:id="27532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wb.gov.wales/curriculum-for-wales/designing-your-curriculum/cross-cutting-themes-for-designing-your-curriculu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wb.gov.wales/curriculum-for-wales/health-and-well-be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wb.gov.wales/curriculum-for-wales/designing-your-curriculum/developing-a-vision-for-curriculum-desig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wb.gov.wales/curriculum-for-wales/designing-your-curriculum/developing-a-vision-for-curriculum-design/" TargetMode="External"/><Relationship Id="R780cdf5eefe34cb8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hwb.gov.wales/curriculum-for-wales/designing-your-curriculum/principles-for-designing-your-curriculu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wb.gov.wales/curriculum-for-wales/designing-your-curriculum/developing-a-vision-for-curriculum-desig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0D8D1FA7D8D4AB090FFE9AB78822E" ma:contentTypeVersion="8" ma:contentTypeDescription="Create a new document." ma:contentTypeScope="" ma:versionID="54c61dd4acf107fc1441e68a94d86ce4">
  <xsd:schema xmlns:xsd="http://www.w3.org/2001/XMLSchema" xmlns:xs="http://www.w3.org/2001/XMLSchema" xmlns:p="http://schemas.microsoft.com/office/2006/metadata/properties" xmlns:ns2="ec4f33bb-5624-4876-9ceb-588d28599800" xmlns:ns3="fad2db36-f87f-4d66-b56b-4bbd7b79bf50" targetNamespace="http://schemas.microsoft.com/office/2006/metadata/properties" ma:root="true" ma:fieldsID="7e56cda2851c4e102fdb4d0a902fa13b" ns2:_="" ns3:_="">
    <xsd:import namespace="ec4f33bb-5624-4876-9ceb-588d28599800"/>
    <xsd:import namespace="fad2db36-f87f-4d66-b56b-4bbd7b79b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33bb-5624-4876-9ceb-588d28599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2db36-f87f-4d66-b56b-4bbd7b79b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D5DCF-C6E6-40A7-9D36-8BAEC9A20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B4CDE-3E7B-4F0A-9428-88824228C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42790-7C0E-4CB8-A63F-0CB26B0C8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F0A98-7770-44FB-99AB-0A0FA8379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33bb-5624-4876-9ceb-588d28599800"/>
    <ds:schemaRef ds:uri="fad2db36-f87f-4d66-b56b-4bbd7b79b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Mathias</dc:creator>
  <cp:keywords/>
  <dc:description/>
  <cp:lastModifiedBy>Rebecca</cp:lastModifiedBy>
  <cp:revision>19</cp:revision>
  <cp:lastPrinted>2023-02-14T11:12:00Z</cp:lastPrinted>
  <dcterms:created xsi:type="dcterms:W3CDTF">2023-02-09T09:54:00Z</dcterms:created>
  <dcterms:modified xsi:type="dcterms:W3CDTF">2024-03-14T10:11:00Z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0x0101009F00D8D1FA7D8D4AB090FFE9AB78822E</vt:lpwstr>
  </property>
  <property fmtid="{D5CDD505-2E9C-101B-9397-08002B2CF9AE}" pid="3" name="AuthorIds_UIVersion_1536">
    <vt:lpwstr>106</vt:lpwstr>
  </property>
</Properties>
</file>